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О порядке формирования и предоставления отчетов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культурно-досуговых учреждений Калужской области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 итогам работы за 2023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ГБУК КО «Дом народного творчества и кино «Центральный» организует сбор и обработку данных по итогам работы </w:t>
      </w:r>
      <w:r>
        <w:rPr>
          <w:rFonts w:cs="Times New Roman" w:ascii="Times New Roman" w:hAnsi="Times New Roman"/>
          <w:b/>
          <w:i/>
          <w:sz w:val="24"/>
          <w:szCs w:val="24"/>
        </w:rPr>
        <w:t>культурно-досуговых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учреждений за 2023 год.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Формы государственной статистической отчетности: 7-НК «</w:t>
      </w:r>
      <w:r>
        <w:rPr>
          <w:rFonts w:cs="Times New Roman" w:ascii="Times New Roman" w:hAnsi="Times New Roman"/>
          <w:b/>
          <w:sz w:val="24"/>
          <w:szCs w:val="24"/>
        </w:rPr>
        <w:t>Сведения                                об организации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культурно-досугового типа</w:t>
      </w:r>
      <w:r>
        <w:rPr>
          <w:rFonts w:cs="Times New Roman" w:ascii="Times New Roman" w:hAnsi="Times New Roman"/>
          <w:sz w:val="24"/>
          <w:szCs w:val="24"/>
        </w:rPr>
        <w:t>», годовая «</w:t>
      </w:r>
      <w:r>
        <w:rPr>
          <w:rFonts w:cs="Times New Roman" w:ascii="Times New Roman" w:hAnsi="Times New Roman"/>
          <w:b/>
          <w:sz w:val="24"/>
          <w:szCs w:val="24"/>
        </w:rPr>
        <w:t>Свод годовых сведений                         об учреждениях культурно-досугового типа</w:t>
      </w:r>
      <w:r>
        <w:rPr>
          <w:rFonts w:cs="Times New Roman" w:ascii="Times New Roman" w:hAnsi="Times New Roman"/>
          <w:sz w:val="24"/>
          <w:szCs w:val="24"/>
        </w:rPr>
        <w:t xml:space="preserve">». Бланки форм статистической отчетности и указания по их заполнению на сайте: </w:t>
      </w:r>
      <w:hyperlink r:id="rId2">
        <w:r>
          <w:rPr>
            <w:rStyle w:val="Style12"/>
            <w:rFonts w:cs="Times New Roman" w:ascii="Times New Roman" w:hAnsi="Times New Roman"/>
            <w:b/>
            <w:bCs/>
            <w:sz w:val="24"/>
            <w:szCs w:val="24"/>
            <w:lang w:val="en-US"/>
          </w:rPr>
          <w:t>www</w:t>
        </w:r>
        <w:r>
          <w:rPr>
            <w:rStyle w:val="Style12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2"/>
            <w:rFonts w:cs="Times New Roman" w:ascii="Times New Roman" w:hAnsi="Times New Roman"/>
            <w:b/>
            <w:bCs/>
            <w:sz w:val="24"/>
            <w:szCs w:val="24"/>
            <w:lang w:val="en-US"/>
          </w:rPr>
          <w:t>mkstat</w:t>
        </w:r>
        <w:r>
          <w:rPr>
            <w:rStyle w:val="Style12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2"/>
            <w:rFonts w:cs="Times New Roman" w:ascii="Times New Roman" w:hAnsi="Times New Roman"/>
            <w:b/>
            <w:bCs/>
            <w:sz w:val="24"/>
            <w:szCs w:val="24"/>
            <w:lang w:val="en-US"/>
          </w:rPr>
          <w:t>ru</w:t>
        </w:r>
        <w:r>
          <w:rPr>
            <w:rStyle w:val="Style12"/>
            <w:rFonts w:cs="Times New Roman" w:ascii="Times New Roman" w:hAnsi="Times New Roman"/>
            <w:b/>
            <w:bCs/>
            <w:sz w:val="24"/>
            <w:szCs w:val="24"/>
          </w:rPr>
          <w:t>/</w:t>
        </w:r>
        <w:r>
          <w:rPr>
            <w:rStyle w:val="Style12"/>
            <w:rFonts w:cs="Times New Roman" w:ascii="Times New Roman" w:hAnsi="Times New Roman"/>
            <w:b/>
            <w:bCs/>
            <w:sz w:val="24"/>
            <w:szCs w:val="24"/>
            <w:lang w:val="en-US"/>
          </w:rPr>
          <w:t>forms</w:t>
        </w:r>
        <w:r>
          <w:rPr>
            <w:rStyle w:val="Style12"/>
            <w:rFonts w:cs="Times New Roman" w:ascii="Times New Roman" w:hAnsi="Times New Roman"/>
            <w:b/>
            <w:bCs/>
            <w:sz w:val="24"/>
            <w:szCs w:val="24"/>
          </w:rPr>
          <w:t>./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Требования к представлению</w:t>
      </w:r>
      <w:r>
        <w:rPr>
          <w:rFonts w:cs="Times New Roman" w:ascii="Times New Roman" w:hAnsi="Times New Roman"/>
          <w:sz w:val="24"/>
          <w:szCs w:val="24"/>
          <w:u w:val="single"/>
        </w:rPr>
        <w:t>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Форму федерального статистического наблюдения </w:t>
      </w:r>
      <w:r>
        <w:rPr>
          <w:rFonts w:cs="Times New Roman" w:ascii="Times New Roman" w:hAnsi="Times New Roman"/>
          <w:b/>
          <w:sz w:val="24"/>
          <w:szCs w:val="24"/>
        </w:rPr>
        <w:t>7-НК</w:t>
      </w:r>
      <w:r>
        <w:rPr>
          <w:rFonts w:cs="Times New Roman" w:ascii="Times New Roman" w:hAnsi="Times New Roman"/>
          <w:sz w:val="24"/>
          <w:szCs w:val="24"/>
        </w:rPr>
        <w:t xml:space="preserve"> заполняют все государственные и муниципальные организации (учреждения) культурно-досугового типа, являющиеся юридическими лицами, а также обособленные структурные подразделения (филиалы и структурные подразделения).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>При заполнении форм статистической отчетности необходимо указывать достоверную информацию и правильно заполнять графы отчетности в соответствии с «</w:t>
      </w:r>
      <w:r>
        <w:rPr>
          <w:rFonts w:cs="Times New Roman" w:ascii="Times New Roman" w:hAnsi="Times New Roman"/>
          <w:b/>
          <w:sz w:val="24"/>
          <w:szCs w:val="24"/>
        </w:rPr>
        <w:t>Указаниями                  по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заполнению формы федерального статистического наблюдения</w:t>
      </w:r>
      <w:r>
        <w:rPr>
          <w:rFonts w:cs="Times New Roman" w:ascii="Times New Roman" w:hAnsi="Times New Roman"/>
          <w:sz w:val="24"/>
          <w:szCs w:val="24"/>
        </w:rPr>
        <w:t xml:space="preserve">».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Формы 7-НК и Свод годовых сведений (составленный на основании формы                  7-НК) необходимо заполнить на бланках, утвержденных Приказом Росстата                             от 18.10.2021 г. № 713</w:t>
      </w:r>
      <w:r>
        <w:rPr>
          <w:rFonts w:cs="Times New Roman" w:ascii="Times New Roman" w:hAnsi="Times New Roman"/>
          <w:sz w:val="24"/>
          <w:szCs w:val="24"/>
        </w:rPr>
        <w:t xml:space="preserve">, далее (после сдачи статистической отчетности в </w:t>
      </w:r>
      <w:bookmarkStart w:id="0" w:name="__DdeLink__366_2828130640"/>
      <w:r>
        <w:rPr>
          <w:rFonts w:cs="Times New Roman" w:ascii="Times New Roman" w:hAnsi="Times New Roman"/>
          <w:sz w:val="24"/>
          <w:szCs w:val="24"/>
        </w:rPr>
        <w:t>ГБУК КО «Дом народного творчества и кино «Центральный»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), необходимо осуществить ввод данных в формы 7-НК на сайте АИС </w:t>
      </w:r>
      <w:r>
        <w:rPr>
          <w:rFonts w:cs="Times New Roman" w:ascii="Times New Roman" w:hAnsi="Times New Roman"/>
          <w:b/>
          <w:sz w:val="24"/>
          <w:szCs w:val="24"/>
        </w:rPr>
        <w:t>«Статистическая отчетность отрасли</w:t>
      </w:r>
      <w:r>
        <w:rPr>
          <w:rFonts w:cs="Times New Roman" w:ascii="Times New Roman" w:hAnsi="Times New Roman"/>
          <w:sz w:val="24"/>
          <w:szCs w:val="24"/>
        </w:rPr>
        <w:t>» ГИВЦ Минкультуры России.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Свод годовых сведений о работе КДУ системы МК РФ за 2023 год </w:t>
      </w:r>
      <w:r>
        <w:rPr>
          <w:rFonts w:cs="Times New Roman" w:ascii="Times New Roman" w:hAnsi="Times New Roman"/>
          <w:b/>
          <w:sz w:val="24"/>
          <w:szCs w:val="24"/>
        </w:rPr>
        <w:t xml:space="preserve">необходимо предоставить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r>
        <w:rPr>
          <w:rFonts w:cs="Times New Roman" w:ascii="Times New Roman" w:hAnsi="Times New Roman"/>
          <w:b/>
          <w:sz w:val="24"/>
          <w:szCs w:val="24"/>
        </w:rPr>
        <w:t xml:space="preserve">графиком предоставления статистической отчетности (Приложение №1) в печатном и электронном виде </w:t>
      </w:r>
      <w:r>
        <w:rPr>
          <w:rFonts w:cs="Times New Roman" w:ascii="Times New Roman" w:hAnsi="Times New Roman"/>
          <w:b/>
          <w:i/>
          <w:sz w:val="24"/>
          <w:szCs w:val="24"/>
        </w:rPr>
        <w:t>(в отдельной папке с названием МР (ГО)</w:t>
      </w:r>
      <w:r>
        <w:rPr>
          <w:rFonts w:cs="Times New Roman" w:ascii="Times New Roman" w:hAnsi="Times New Roman"/>
          <w:sz w:val="24"/>
          <w:szCs w:val="24"/>
        </w:rPr>
        <w:t xml:space="preserve"> – Свод в 1 экземпляре и заполненные формы 7-НК по каждой сетевой единице.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Внимание!</w:t>
      </w:r>
      <w:r>
        <w:rPr>
          <w:rFonts w:cs="Times New Roman" w:ascii="Times New Roman" w:hAnsi="Times New Roman"/>
          <w:bCs/>
          <w:sz w:val="24"/>
          <w:szCs w:val="24"/>
        </w:rPr>
        <w:t xml:space="preserve"> Все формы на бумажном носителе должны быть подписаны </w:t>
      </w:r>
      <w:r>
        <w:rPr>
          <w:rFonts w:cs="Times New Roman" w:ascii="Times New Roman" w:hAnsi="Times New Roman"/>
          <w:bCs/>
          <w:color w:val="171717" w:themeColor="background2" w:themeShade="1a"/>
          <w:sz w:val="24"/>
          <w:szCs w:val="24"/>
        </w:rPr>
        <w:t xml:space="preserve">должностным лицом, ответственным за предоставление статистических данных (уполномоченным предоставлять статистические данные от имени юридического лица), </w:t>
      </w:r>
      <w:r>
        <w:rPr>
          <w:rFonts w:cs="Times New Roman" w:ascii="Times New Roman" w:hAnsi="Times New Roman"/>
          <w:bCs/>
          <w:sz w:val="24"/>
          <w:szCs w:val="24"/>
        </w:rPr>
        <w:t xml:space="preserve">и заверены печатью. Не менее чем за 2 дня до сдачи отчета по графику, просим направить Своды для проверки на адрес электронной почты: </w:t>
      </w:r>
      <w:hyperlink r:id="rId3">
        <w:r>
          <w:rPr>
            <w:rStyle w:val="Style12"/>
            <w:rFonts w:cs="Times New Roman" w:ascii="Times New Roman" w:hAnsi="Times New Roman"/>
            <w:bCs/>
            <w:sz w:val="24"/>
            <w:szCs w:val="24"/>
            <w:lang w:val="en-US"/>
          </w:rPr>
          <w:t>inform</w:t>
        </w:r>
        <w:r>
          <w:rPr>
            <w:rStyle w:val="Style12"/>
            <w:rFonts w:cs="Times New Roman" w:ascii="Times New Roman" w:hAnsi="Times New Roman"/>
            <w:bCs/>
            <w:sz w:val="24"/>
            <w:szCs w:val="24"/>
          </w:rPr>
          <w:t>@</w:t>
        </w:r>
        <w:r>
          <w:rPr>
            <w:rStyle w:val="Style12"/>
            <w:rFonts w:cs="Times New Roman" w:ascii="Times New Roman" w:hAnsi="Times New Roman"/>
            <w:bCs/>
            <w:sz w:val="24"/>
            <w:szCs w:val="24"/>
            <w:lang w:val="en-US"/>
          </w:rPr>
          <w:t>dntik</w:t>
        </w:r>
        <w:r>
          <w:rPr>
            <w:rStyle w:val="Style12"/>
            <w:rFonts w:cs="Times New Roman" w:ascii="Times New Roman" w:hAnsi="Times New Roman"/>
            <w:bCs/>
            <w:sz w:val="24"/>
            <w:szCs w:val="24"/>
          </w:rPr>
          <w:t>.</w:t>
        </w:r>
        <w:r>
          <w:rPr>
            <w:rStyle w:val="Style12"/>
            <w:rFonts w:cs="Times New Roman" w:ascii="Times New Roman" w:hAnsi="Times New Roman"/>
            <w:bCs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>При изменении сети КДУ в 2023 году (</w:t>
      </w:r>
      <w:r>
        <w:rPr>
          <w:rFonts w:cs="Times New Roman" w:ascii="Times New Roman" w:hAnsi="Times New Roman"/>
          <w:b/>
          <w:sz w:val="24"/>
          <w:szCs w:val="24"/>
        </w:rPr>
        <w:t>ликвидация, реорганизация</w:t>
      </w:r>
      <w:r>
        <w:rPr>
          <w:rFonts w:cs="Times New Roman" w:ascii="Times New Roman" w:hAnsi="Times New Roman"/>
          <w:sz w:val="24"/>
          <w:szCs w:val="24"/>
        </w:rPr>
        <w:t>) необходимо заполнить таблицу (</w:t>
      </w:r>
      <w:r>
        <w:rPr>
          <w:rFonts w:cs="Times New Roman" w:ascii="Times New Roman" w:hAnsi="Times New Roman"/>
          <w:b/>
          <w:sz w:val="24"/>
          <w:szCs w:val="24"/>
        </w:rPr>
        <w:t xml:space="preserve">Приложение №2) </w:t>
      </w:r>
      <w:r>
        <w:rPr>
          <w:rFonts w:cs="Times New Roman" w:ascii="Times New Roman" w:hAnsi="Times New Roman"/>
          <w:sz w:val="24"/>
          <w:szCs w:val="24"/>
        </w:rPr>
        <w:t>и представить соответствующие документы (приказ, постановление). Учреждения ликвидированные, но осущест</w:t>
      </w:r>
      <w:r>
        <w:rPr>
          <w:rFonts w:cs="Times New Roman" w:ascii="Times New Roman" w:hAnsi="Times New Roman"/>
          <w:color w:val="171717" w:themeColor="background2" w:themeShade="1a"/>
          <w:sz w:val="24"/>
          <w:szCs w:val="24"/>
        </w:rPr>
        <w:t>влявшие</w:t>
      </w:r>
      <w:r>
        <w:rPr>
          <w:rFonts w:cs="Times New Roman" w:ascii="Times New Roman" w:hAnsi="Times New Roman"/>
          <w:sz w:val="24"/>
          <w:szCs w:val="24"/>
        </w:rPr>
        <w:t xml:space="preserve">  деятельность в течение 2023 года, отчитываются по итогам работы за 2023 год.                                  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5.</w:t>
      </w:r>
      <w:r>
        <w:rPr>
          <w:rFonts w:cs="Times New Roman" w:ascii="Times New Roman" w:hAnsi="Times New Roman"/>
          <w:sz w:val="24"/>
          <w:szCs w:val="24"/>
        </w:rPr>
        <w:t xml:space="preserve"> Предоставление и проверка статистической отчетности в части «</w:t>
      </w:r>
      <w:r>
        <w:rPr>
          <w:rFonts w:cs="Times New Roman" w:ascii="Times New Roman" w:hAnsi="Times New Roman"/>
          <w:b/>
          <w:sz w:val="24"/>
          <w:szCs w:val="24"/>
        </w:rPr>
        <w:t>Поступление                   и использование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финансовых средств</w:t>
      </w:r>
      <w:r>
        <w:rPr>
          <w:rFonts w:cs="Times New Roman" w:ascii="Times New Roman" w:hAnsi="Times New Roman"/>
          <w:sz w:val="24"/>
          <w:szCs w:val="24"/>
        </w:rPr>
        <w:t>» осуществляется в ГБУК КО «Дом народного творчества и кино «Центральный».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6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bCs/>
          <w:sz w:val="24"/>
          <w:szCs w:val="24"/>
        </w:rPr>
        <w:t xml:space="preserve"> В соответствии с графиком предоставления статистической и текстовой отчетности необходимо предоставить следующие материалы в электронном и печатном виде в формате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Word</w:t>
      </w:r>
      <w:r>
        <w:rPr>
          <w:rFonts w:cs="Times New Roman" w:ascii="Times New Roman" w:hAnsi="Times New Roman"/>
          <w:bCs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-</w:t>
      </w:r>
      <w:r>
        <w:rPr>
          <w:rFonts w:cs="Times New Roman" w:ascii="Times New Roman" w:hAnsi="Times New Roman"/>
          <w:bCs/>
          <w:sz w:val="24"/>
          <w:szCs w:val="24"/>
        </w:rPr>
        <w:t xml:space="preserve"> Текстовые отчеты о деятельности отдела (управления) культуры МР (ГО);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ab/>
        <w:t>- Текстовые отчеты о деятельности районных(городских) культурно-досуговых учреждений;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ab/>
        <w:t xml:space="preserve">- Сведения о кадрах культурно-досуговых учреждений МР (ГО) </w:t>
      </w:r>
      <w:r>
        <w:rPr>
          <w:rFonts w:cs="Times New Roman" w:ascii="Times New Roman" w:hAnsi="Times New Roman"/>
          <w:b/>
          <w:bCs/>
          <w:sz w:val="24"/>
          <w:szCs w:val="24"/>
        </w:rPr>
        <w:t>(Приложение №3);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Сведения о муниципальных учреждениях культуры МО (ГО) (</w:t>
      </w:r>
      <w:r>
        <w:rPr>
          <w:rFonts w:cs="Times New Roman" w:ascii="Times New Roman" w:hAnsi="Times New Roman"/>
          <w:b/>
          <w:bCs/>
          <w:sz w:val="24"/>
          <w:szCs w:val="24"/>
        </w:rPr>
        <w:t>Приложение №4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График предоставления статистических и текстовых отчетов органов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управления культуры муниципальных образований за 2023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январь 2024 года</w:t>
      </w:r>
    </w:p>
    <w:tbl>
      <w:tblPr>
        <w:tblStyle w:val="af6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1973"/>
        <w:gridCol w:w="4257"/>
      </w:tblGrid>
      <w:tr>
        <w:trPr>
          <w:trHeight w:val="579" w:hRule="atLeast"/>
        </w:trPr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района/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городского округа</w:t>
            </w:r>
          </w:p>
        </w:tc>
      </w:tr>
      <w:tr>
        <w:trPr>
          <w:trHeight w:val="255" w:hRule="atLeast"/>
        </w:trPr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15января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(понедельник)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Юхнов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ский район»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«Думиничский  район»</w:t>
            </w:r>
          </w:p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asciiTheme="minorHAnsi" w:cstheme="minorBidi" w:eastAsiaTheme="minorHAnsi" w:hAnsiTheme="minorHAnsi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16 января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(вторник)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«Жиздринский  район»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«Хвастовичский» район»</w:t>
            </w:r>
          </w:p>
        </w:tc>
      </w:tr>
      <w:tr>
        <w:trPr>
          <w:trHeight w:val="700" w:hRule="atLeast"/>
        </w:trPr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17 января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«Медынский  район»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«Куйбышевский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18 января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(четверг)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«Город Киров и Кировский район»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«Козельский район»</w:t>
            </w:r>
          </w:p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asciiTheme="minorHAnsi" w:cstheme="minorBidi" w:eastAsiaTheme="minorHAnsi" w:hAnsiTheme="minorHAnsi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19 января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(пятница)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«Малоярославецкий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МР « Спас-Деменский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22 января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(понедельник)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11:30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«Сухиничский район»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«Износковский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23 января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1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11:30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«Ферзиковский район»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«Бабынинский район»</w:t>
            </w:r>
          </w:p>
        </w:tc>
      </w:tr>
      <w:tr>
        <w:trPr>
          <w:trHeight w:val="255" w:hRule="atLeast"/>
        </w:trPr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24 января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11:30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«Город Людиново и Людиновский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«Ульяновский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25 января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(четверг)</w:t>
            </w:r>
          </w:p>
        </w:tc>
        <w:tc>
          <w:tcPr>
            <w:tcW w:w="1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11:30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 « Город Обнинск»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</w:t>
            </w:r>
            <w:r>
              <w:rPr>
                <w:rFonts w:cs="Times New Roman" w:ascii="Times New Roman" w:hAnsi="Times New Roman"/>
              </w:rPr>
              <w:t xml:space="preserve">  «Город Калуга»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ГБУК КО «ИКЦ»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 января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(пятница)</w:t>
            </w:r>
          </w:p>
        </w:tc>
        <w:tc>
          <w:tcPr>
            <w:tcW w:w="1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11:30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«Мещовский  район»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Жуков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ский район»</w:t>
            </w:r>
          </w:p>
        </w:tc>
      </w:tr>
      <w:tr>
        <w:trPr>
          <w:trHeight w:val="255" w:hRule="atLeast"/>
        </w:trPr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29 января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(понедельник)</w:t>
            </w:r>
          </w:p>
        </w:tc>
        <w:tc>
          <w:tcPr>
            <w:tcW w:w="1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«Мосальский район»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«Боровский  район»</w:t>
            </w:r>
          </w:p>
        </w:tc>
      </w:tr>
      <w:tr>
        <w:trPr>
          <w:trHeight w:val="255" w:hRule="atLeast"/>
        </w:trPr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30 января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1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«Перемышльский район»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 Барятинский район»</w:t>
            </w:r>
          </w:p>
        </w:tc>
      </w:tr>
      <w:tr>
        <w:trPr>
          <w:trHeight w:val="255" w:hRule="atLeast"/>
        </w:trPr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31 января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«Тарусский район»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Дзержин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ский район»</w:t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№ 2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Сведения о ликвидированных (реорганизованных) учреждениях культуры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af6"/>
        <w:tblW w:w="10605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6"/>
        <w:gridCol w:w="2071"/>
        <w:gridCol w:w="2118"/>
        <w:gridCol w:w="2071"/>
        <w:gridCol w:w="1180"/>
        <w:gridCol w:w="1828"/>
      </w:tblGrid>
      <w:tr>
        <w:trPr/>
        <w:tc>
          <w:tcPr>
            <w:tcW w:w="13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Наименов-е района (округа)</w:t>
            </w:r>
          </w:p>
        </w:tc>
        <w:tc>
          <w:tcPr>
            <w:tcW w:w="2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ликвидированных учреждений</w:t>
            </w:r>
          </w:p>
        </w:tc>
        <w:tc>
          <w:tcPr>
            <w:tcW w:w="2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реорганизованных учреждений (какие учреждения объединены)</w:t>
            </w:r>
          </w:p>
        </w:tc>
        <w:tc>
          <w:tcPr>
            <w:tcW w:w="2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проживающего населения в зоне обслуживания ликвидированных учреждений </w:t>
            </w:r>
          </w:p>
        </w:tc>
        <w:tc>
          <w:tcPr>
            <w:tcW w:w="11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Причина закрытия</w:t>
            </w:r>
          </w:p>
        </w:tc>
        <w:tc>
          <w:tcPr>
            <w:tcW w:w="18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 обслуживания населения, где ликвидированы учреждения</w:t>
            </w:r>
          </w:p>
        </w:tc>
      </w:tr>
      <w:tr>
        <w:trPr/>
        <w:tc>
          <w:tcPr>
            <w:tcW w:w="13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№ 3</w:t>
      </w:r>
      <w:r>
        <w:rPr>
          <w:b/>
          <w:bCs/>
          <w:sz w:val="24"/>
          <w:szCs w:val="24"/>
        </w:rPr>
        <w:t xml:space="preserve">                             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Сведения о кадрах культурно-досуговых учреждений </w:t>
      </w:r>
    </w:p>
    <w:tbl>
      <w:tblPr>
        <w:tblStyle w:val="af6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5"/>
        <w:gridCol w:w="2336"/>
        <w:gridCol w:w="2328"/>
        <w:gridCol w:w="2344"/>
      </w:tblGrid>
      <w:tr>
        <w:trPr/>
        <w:tc>
          <w:tcPr>
            <w:tcW w:w="23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Полное наименование КДУ</w:t>
            </w:r>
          </w:p>
        </w:tc>
        <w:tc>
          <w:tcPr>
            <w:tcW w:w="23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ФИО (полностью) сотрудников учреждения </w:t>
            </w:r>
          </w:p>
        </w:tc>
        <w:tc>
          <w:tcPr>
            <w:tcW w:w="23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3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Работают на полной ставке, 0,75 ставке,0,5 ставке, 0,25 ставке</w:t>
            </w:r>
          </w:p>
        </w:tc>
      </w:tr>
      <w:tr>
        <w:trPr/>
        <w:tc>
          <w:tcPr>
            <w:tcW w:w="23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3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3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3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>Приложение № 4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Сведения о муниципальных культурно-досуговых учреждениях</w:t>
      </w:r>
    </w:p>
    <w:tbl>
      <w:tblPr>
        <w:tblStyle w:val="af6"/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5"/>
        <w:gridCol w:w="1916"/>
        <w:gridCol w:w="1921"/>
        <w:gridCol w:w="1923"/>
        <w:gridCol w:w="1942"/>
      </w:tblGrid>
      <w:tr>
        <w:trPr/>
        <w:tc>
          <w:tcPr>
            <w:tcW w:w="19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МР (ГО), сельского поселения</w:t>
            </w:r>
          </w:p>
        </w:tc>
        <w:tc>
          <w:tcPr>
            <w:tcW w:w="19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9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9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Контактные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данные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Наличие доступа к сети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«Интернет»</w:t>
            </w:r>
          </w:p>
        </w:tc>
      </w:tr>
      <w:tr>
        <w:trPr/>
        <w:tc>
          <w:tcPr>
            <w:tcW w:w="1925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6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21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2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851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32b09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6521e7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basedOn w:val="DefaultParagraphFont"/>
    <w:uiPriority w:val="99"/>
    <w:unhideWhenUsed/>
    <w:rsid w:val="00355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554f1"/>
    <w:rPr>
      <w:color w:val="605E5C"/>
      <w:shd w:fill="E1DFDD" w:val="clear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3c7e79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32b0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34b62"/>
    <w:rPr>
      <w:i/>
      <w:iCs/>
      <w:color w:val="404040" w:themeColor="text1" w:themeTint="bf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6521e7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Style14">
    <w:name w:val="Выделение"/>
    <w:basedOn w:val="DefaultParagraphFont"/>
    <w:uiPriority w:val="20"/>
    <w:qFormat/>
    <w:rsid w:val="003056b3"/>
    <w:rPr>
      <w:i/>
      <w:iCs/>
    </w:rPr>
  </w:style>
  <w:style w:type="character" w:styleId="Style15" w:customStyle="1">
    <w:name w:val="Нижний колонтитул Знак"/>
    <w:basedOn w:val="DefaultParagraphFont"/>
    <w:qFormat/>
    <w:rsid w:val="003056b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3056b3"/>
    <w:rPr/>
  </w:style>
  <w:style w:type="character" w:styleId="Style16" w:customStyle="1">
    <w:name w:val="Подзаголовок Знак"/>
    <w:basedOn w:val="DefaultParagraphFont"/>
    <w:uiPriority w:val="11"/>
    <w:qFormat/>
    <w:rsid w:val="003056b3"/>
    <w:rPr>
      <w:rFonts w:eastAsia="" w:eastAsiaTheme="minorEastAsia"/>
      <w:color w:val="5A5A5A" w:themeColor="text1" w:themeTint="a5"/>
      <w:spacing w:val="15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a819ee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Times New Roman" w:hAnsi="Times New Roman" w:cs="Times New Roman"/>
      <w:b/>
      <w:bCs/>
      <w:sz w:val="26"/>
      <w:szCs w:val="26"/>
      <w:lang w:val="en-US"/>
    </w:rPr>
  </w:style>
  <w:style w:type="character" w:styleId="ListLabel5" w:customStyle="1">
    <w:name w:val="ListLabel 5"/>
    <w:qFormat/>
    <w:rPr>
      <w:rFonts w:ascii="Times New Roman" w:hAnsi="Times New Roman" w:cs="Times New Roman"/>
      <w:b/>
      <w:bCs/>
      <w:sz w:val="26"/>
      <w:szCs w:val="26"/>
    </w:rPr>
  </w:style>
  <w:style w:type="character" w:styleId="ListLabel6" w:customStyle="1">
    <w:name w:val="ListLabel 6"/>
    <w:qFormat/>
    <w:rPr>
      <w:rFonts w:ascii="Times New Roman" w:hAnsi="Times New Roman" w:cs="Times New Roman"/>
      <w:b/>
      <w:bCs/>
      <w:lang w:val="en-US"/>
    </w:rPr>
  </w:style>
  <w:style w:type="character" w:styleId="ListLabel7" w:customStyle="1">
    <w:name w:val="ListLabel 7"/>
    <w:qFormat/>
    <w:rPr>
      <w:rFonts w:ascii="Times New Roman" w:hAnsi="Times New Roman" w:cs="Times New Roman"/>
      <w:b/>
      <w:bCs/>
    </w:rPr>
  </w:style>
  <w:style w:type="character" w:styleId="ListLabel8" w:customStyle="1">
    <w:name w:val="ListLabel 8"/>
    <w:qFormat/>
    <w:rPr>
      <w:rFonts w:ascii="Times New Roman" w:hAnsi="Times New Roman" w:cs="Times New Roman"/>
      <w:bCs/>
      <w:lang w:val="en-US"/>
    </w:rPr>
  </w:style>
  <w:style w:type="character" w:styleId="ListLabel9" w:customStyle="1">
    <w:name w:val="ListLabel 9"/>
    <w:qFormat/>
    <w:rPr>
      <w:rFonts w:ascii="Times New Roman" w:hAnsi="Times New Roman" w:cs="Times New Roman"/>
      <w:bCs/>
    </w:rPr>
  </w:style>
  <w:style w:type="character" w:styleId="ListLabel10" w:customStyle="1">
    <w:name w:val="ListLabel 10"/>
    <w:qFormat/>
    <w:rPr>
      <w:rFonts w:ascii="Times New Roman" w:hAnsi="Times New Roman" w:cs="Times New Roman"/>
      <w:b/>
      <w:bCs/>
      <w:lang w:val="en-US"/>
    </w:rPr>
  </w:style>
  <w:style w:type="character" w:styleId="ListLabel11" w:customStyle="1">
    <w:name w:val="ListLabel 11"/>
    <w:qFormat/>
    <w:rPr>
      <w:rFonts w:ascii="Times New Roman" w:hAnsi="Times New Roman" w:cs="Times New Roman"/>
      <w:b/>
      <w:bCs/>
    </w:rPr>
  </w:style>
  <w:style w:type="character" w:styleId="ListLabel12" w:customStyle="1">
    <w:name w:val="ListLabel 12"/>
    <w:qFormat/>
    <w:rPr>
      <w:rFonts w:ascii="Times New Roman" w:hAnsi="Times New Roman" w:cs="Times New Roman"/>
      <w:bCs/>
      <w:lang w:val="en-US"/>
    </w:rPr>
  </w:style>
  <w:style w:type="character" w:styleId="ListLabel13" w:customStyle="1">
    <w:name w:val="ListLabel 13"/>
    <w:qFormat/>
    <w:rPr>
      <w:rFonts w:ascii="Times New Roman" w:hAnsi="Times New Roman" w:cs="Times New Roman"/>
      <w:bCs/>
    </w:rPr>
  </w:style>
  <w:style w:type="character" w:styleId="ListLabel14" w:customStyle="1">
    <w:name w:val="ListLabel 14"/>
    <w:qFormat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ListLabel15" w:customStyle="1">
    <w:name w:val="ListLabel 15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6" w:customStyle="1">
    <w:name w:val="ListLabel 16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7" w:customStyle="1">
    <w:name w:val="ListLabel 17"/>
    <w:qFormat/>
    <w:rPr>
      <w:rFonts w:ascii="Times New Roman" w:hAnsi="Times New Roman" w:cs="Times New Roman"/>
      <w:bCs/>
      <w:sz w:val="24"/>
      <w:szCs w:val="24"/>
      <w:lang w:val="en-US"/>
    </w:rPr>
  </w:style>
  <w:style w:type="character" w:styleId="ListLabel18" w:customStyle="1">
    <w:name w:val="ListLabel 18"/>
    <w:qFormat/>
    <w:rPr>
      <w:rFonts w:ascii="Times New Roman" w:hAnsi="Times New Roman" w:cs="Times New Roman"/>
      <w:bCs/>
      <w:sz w:val="24"/>
      <w:szCs w:val="24"/>
    </w:rPr>
  </w:style>
  <w:style w:type="character" w:styleId="ListLabel19" w:customStyle="1">
    <w:name w:val="ListLabel 19"/>
    <w:qFormat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ListLabel20" w:customStyle="1">
    <w:name w:val="ListLabel 20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1" w:customStyle="1">
    <w:name w:val="ListLabel 21"/>
    <w:qFormat/>
    <w:rPr>
      <w:rFonts w:ascii="Times New Roman" w:hAnsi="Times New Roman" w:cs="Times New Roman"/>
      <w:bCs/>
      <w:sz w:val="24"/>
      <w:szCs w:val="24"/>
      <w:lang w:val="en-US"/>
    </w:rPr>
  </w:style>
  <w:style w:type="character" w:styleId="ListLabel22" w:customStyle="1">
    <w:name w:val="ListLabel 22"/>
    <w:qFormat/>
    <w:rPr>
      <w:rFonts w:ascii="Times New Roman" w:hAnsi="Times New Roman" w:cs="Times New Roman"/>
      <w:bCs/>
      <w:sz w:val="24"/>
      <w:szCs w:val="24"/>
    </w:rPr>
  </w:style>
  <w:style w:type="character" w:styleId="ListLabel23" w:customStyle="1">
    <w:name w:val="ListLabel 23"/>
    <w:qFormat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ListLabel24" w:customStyle="1">
    <w:name w:val="ListLabel 24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5" w:customStyle="1">
    <w:name w:val="ListLabel 25"/>
    <w:qFormat/>
    <w:rPr>
      <w:rFonts w:ascii="Times New Roman" w:hAnsi="Times New Roman" w:cs="Times New Roman"/>
      <w:bCs/>
      <w:sz w:val="24"/>
      <w:szCs w:val="24"/>
      <w:lang w:val="en-US"/>
    </w:rPr>
  </w:style>
  <w:style w:type="character" w:styleId="ListLabel26" w:customStyle="1">
    <w:name w:val="ListLabel 26"/>
    <w:qFormat/>
    <w:rPr>
      <w:rFonts w:ascii="Times New Roman" w:hAnsi="Times New Roman" w:cs="Times New Roman"/>
      <w:bCs/>
      <w:sz w:val="24"/>
      <w:szCs w:val="24"/>
    </w:rPr>
  </w:style>
  <w:style w:type="character" w:styleId="ListLabel27">
    <w:name w:val="ListLabel 27"/>
    <w:qFormat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ListLabel28">
    <w:name w:val="ListLabel 28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9">
    <w:name w:val="ListLabel 29"/>
    <w:qFormat/>
    <w:rPr>
      <w:rFonts w:ascii="Times New Roman" w:hAnsi="Times New Roman" w:cs="Times New Roman"/>
      <w:bCs/>
      <w:sz w:val="24"/>
      <w:szCs w:val="24"/>
      <w:lang w:val="en-US"/>
    </w:rPr>
  </w:style>
  <w:style w:type="character" w:styleId="ListLabel30">
    <w:name w:val="ListLabel 30"/>
    <w:qFormat/>
    <w:rPr>
      <w:rFonts w:ascii="Times New Roman" w:hAnsi="Times New Roman" w:cs="Times New Roman"/>
      <w:bCs/>
      <w:sz w:val="24"/>
      <w:szCs w:val="24"/>
    </w:rPr>
  </w:style>
  <w:style w:type="character" w:styleId="ListLabel31">
    <w:name w:val="ListLabel 31"/>
    <w:qFormat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ListLabel32">
    <w:name w:val="ListLabel 32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33">
    <w:name w:val="ListLabel 33"/>
    <w:qFormat/>
    <w:rPr>
      <w:rFonts w:ascii="Times New Roman" w:hAnsi="Times New Roman" w:cs="Times New Roman"/>
      <w:bCs/>
      <w:sz w:val="24"/>
      <w:szCs w:val="24"/>
      <w:lang w:val="en-US"/>
    </w:rPr>
  </w:style>
  <w:style w:type="character" w:styleId="ListLabel34">
    <w:name w:val="ListLabel 34"/>
    <w:qFormat/>
    <w:rPr>
      <w:rFonts w:ascii="Times New Roman" w:hAnsi="Times New Roman" w:cs="Times New Roman"/>
      <w:bCs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3c7e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2b0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055e6"/>
    <w:pPr>
      <w:spacing w:before="0" w:after="160"/>
      <w:ind w:left="720" w:hanging="0"/>
      <w:contextualSpacing/>
    </w:pPr>
    <w:rPr/>
  </w:style>
  <w:style w:type="paragraph" w:styleId="Style24">
    <w:name w:val="Footer"/>
    <w:basedOn w:val="Normal"/>
    <w:rsid w:val="003056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5">
    <w:name w:val="Subtitle"/>
    <w:basedOn w:val="Normal"/>
    <w:next w:val="Normal"/>
    <w:uiPriority w:val="11"/>
    <w:qFormat/>
    <w:rsid w:val="003056b3"/>
    <w:pPr/>
    <w:rPr>
      <w:rFonts w:eastAsia="" w:eastAsiaTheme="minorEastAsia"/>
      <w:color w:val="5A5A5A" w:themeColor="text1" w:themeTint="a5"/>
      <w:spacing w:val="15"/>
    </w:rPr>
  </w:style>
  <w:style w:type="paragraph" w:styleId="Style26">
    <w:name w:val="Header"/>
    <w:basedOn w:val="Normal"/>
    <w:uiPriority w:val="99"/>
    <w:unhideWhenUsed/>
    <w:rsid w:val="00a819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39"/>
    <w:rsid w:val="00b549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kstat.ru/forms./" TargetMode="External"/><Relationship Id="rId3" Type="http://schemas.openxmlformats.org/officeDocument/2006/relationships/hyperlink" Target="mailto:info@dntik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25D3-B324-411D-B9EB-4B92C51F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Application>LibreOffice/6.2.8.2$Windows_X86_64 LibreOffice_project/f82ddfca21ebc1e222a662a32b25c0c9d20169ee</Application>
  <Pages>3</Pages>
  <Words>659</Words>
  <Characters>4515</Characters>
  <CharactersWithSpaces>5679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2018-12-04T18:06:00Z</dcterms:created>
  <dc:creator>Lcz0576</dc:creator>
  <dc:description/>
  <dc:language>ru-RU</dc:language>
  <cp:lastModifiedBy/>
  <cp:lastPrinted>2019-11-27T11:36:00Z</cp:lastPrinted>
  <dcterms:modified xsi:type="dcterms:W3CDTF">2023-12-15T14:49:21Z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